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426. “万物到家，即时生活”——即时零售、同城急送（外卖买菜、闪购）消费行为研究（第十五批）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研究对象：用过即时零售（外卖买菜/医药闪购/数码急送）的城市居民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核心变量/研究问题：使用场景（应急/日常）、品类扩展（药品/数码）、时效期望（30分钟/1小时）、配送费接受、满意度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外卖/闪购用户线上问卷；与357题（无人零售）区分：聚焦配送服务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✅即时零售市场规模超1万亿（第三批已核验）；✅外卖配送每单职伤缴费0.07元（第十二批证据）；🔶即时零售渗透率（行业报告需核验）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