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430. “代取快递，校园跑腿”——校园跑腿、代取快递服务需求研究（第十五批）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第十五批（宠物服务×即时便利×乡村农业×文旅新场景×大健康2.0×教育新职业）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研究对象：用过校园跑腿（代取快递/带饭/代课）的大学生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核心变量/研究问题：使用场景、单次价格、信任（私人物品）、服务评价、高峰期（双11）、支付意愿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研究阶段：中期（样本易得）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所属选题库：正大杯第十五批30个特色选题（宠物服务/即时便利/乡村农业/文旅新场景/大健康2.0/教育新职业）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高校渠道（跑腿群）；贴近评委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🔶校园跑腿经济（媒体现象报道）；✅快递业务量破1600亿件（2025年，已核验）；✅大学生消费金融45%发展型支出（第九轮证据）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