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452. “市内免税店，开到家门口”——市内免税店、口岸免税消费意愿研究（第十六批）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研究对象：所在城市有市内免税店（北京/上海/广州/成都等）的消费者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核心变量/研究问题：市内免税店知晓、到店消费（出境前购买）、与机场/离岛对比、品类价格感知、扩容期待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研究阶段：中期（政策扩容）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市内免税店门店+商圈现场问卷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✅"离岛+市内+口岸"免税格局（行业报告）；🔶市内免税店扩容（国务院批准市内免税店政策需核验）；✅免税零售行业增长（中研普华）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