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453. “海淘变难了，免税红利终结”——跨境电商小额免税政策变化对海淘消费影响研究（第十六批）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研究对象：有海淘习惯（美妆/母婴/数码）的消费者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核心变量/研究问题：海淘频次、价格敏感、免税政策变化知晓（T86取消/欧盟150欧门槛）、渠道迁移（转免税/保税仓）、粘性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研究阶段：中期（政策冲击）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海淘社群/代购用户线上问卷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✅美国取消T86小额免税通道、欧盟即将取消150欧元以下包裹免税门槛；✅跨境电商出口退运商品税收优惠（2026年2月发布、2026-2027年）；✅保税仓/1210模式（中研普华）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