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455. “保税仓代购，平替新通道”——保税仓、跨境电商进口消费（母婴、美妆）研究（第十六批）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第十六批（跨境免税×新兴运动×消费维权×银发娱乐3.0×文创现场×代际家庭）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研究对象：通过跨境电商进口（保税仓发货）购买海外商品的消费者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核心变量/研究问题：购买品类、与海淘代购对比、到货时效、正品信任、价格优势、复购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所属选题库：正大杯第十六批30个特色选题（跨境免税/新兴运动/消费维权/银发娱乐3.0/文创现场/代际家庭）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跨境电商平台（天猫国际/京东国际）用户渠道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🔶跨境电商零售进口规模（海关总署数据需核验）；✅电商零售进口税收政策（2019年跨境零售进口正面清单）；✅免税渠道对比（中研普华）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