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  <w:jc w:val="center"/>
      </w:pPr>
      <w:r>
        <w:rPr>
          <w:rFonts w:ascii="宋体" w:hAnsi="宋体" w:eastAsia="宋体"/>
          <w:b/>
          <w:color w:val="6663B2"/>
          <w:sz w:val="30"/>
        </w:rPr>
        <w:t>460. “商场里的运动场，体验经济”——商场运动业态（攀岩、射击、蹦床、冲浪模拟）消费研究（第十六批）</w:t>
      </w:r>
    </w:p>
    <w:p>
      <w:pPr>
        <w:spacing w:after="240"/>
        <w:jc w:val="center"/>
      </w:pPr>
      <w:r>
        <w:rPr>
          <w:rFonts w:ascii="宋体" w:hAnsi="宋体" w:eastAsia="宋体"/>
          <w:b w:val="0"/>
          <w:color w:val="837292"/>
          <w:sz w:val="20"/>
        </w:rPr>
        <w:t>正大杯选题档案 · 第十六批（跨境免税×新兴运动×消费维权×银发娱乐3.0×文创现场×代际家庭）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一、选题基本信息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研究对象：在商场体验过新型运动业态（射击馆/蹦床/冲浪模拟）的消费者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核心变量/研究问题：体验动机（遛娃/约会/尝鲜）、单次价格接受、业态引流作用、复购与会员、与健身房对比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研究阶段：中期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所属选题库：正大杯第十六批30个特色选题（跨境免税/新兴运动/消费维权/银发娱乐3.0/文创现场/代际家庭）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二、可行性说明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商场运动业态门店现场问卷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三、参考来源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🔶商场运动业态"超级体验场"（行业观察媒体需核验）；✅攀岩/滑板/滑雪等入商场成引流利器（本批方向1证据）；✅文娱消费304亿可再生背景（第三批已核验）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提示：✅=官方政策/权威媒体可直接引用；🔶=行业报告/媒体线索，参赛前须下载原文核对。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