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462. “仅退款新政，商家冷暖”——电商“仅退款”机制对商家与消费者影响研究（补充更新批）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第十六批（451-480）·补充更新（2026-10 清理重复/过气后顶替编号）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研究对象：经历过"仅退款"的商家及消费者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核心变量/研究问题：仅退款体验（消费者白嫖/商家维权难）、平台规则感知、羊毛党现象、售后服务变化、双方满意度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研究阶段：中期（2025-2026新规热点）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所属选题库：正大杯500题 · 补充更新批（顶替清理编号，详见批次总览）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电商商家群+消费者问卷；与250（直播信任）区分：聚焦仅退款机制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🔶"仅退款"新规（市场监管总局2025年规范"仅退款"文件需核验）；✅电商投诉热点（中消协报告🔶）；✅直播电商6万亿（第九轮证据）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