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463. “七天无理由，退还是换”——网购退货行为与平台规则体验研究（第十六批）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第十六批（跨境免税×新兴运动×消费维权×银发娱乐3.0×文创现场×代际家庭）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研究对象：有网购退货（7天无理由/运费险）经历的消费者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核心变量/研究问题：退货率、退货原因（尺码/色差/冲动）、退货体验（上门取件/审核）、运费险使用、商家与平台责任感知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所属选题库：正大杯第十六批30个特色选题（跨境免税/新兴运动/消费维权/银发娱乐3.0/文创现场/代际家庭）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电商用户线上问卷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✅《网络购买商品七日无理由退货暂行办法》（市场监管总局）；🔶服饰类退货率（行业数据需核验）；✅"买家秀与卖家秀"消费吐槽（媒体背景）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