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68. “硬折扣店，质价比革命”——消费者硬折扣、零食量贩店购物行为与忠诚度研究（第三批）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第三批（促消费×新零售×文旅×健康×民生）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研究对象：去过硬折扣店（奥乐齐/盒马奥莱/零食很忙/赵一鸣等）的消费者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核心变量/研究问题：价格感知、自有品牌接受度、购物频率、单次金额、忠诚度、复购意愿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所属选题库：正大杯第三批30个热点选题（促消费/新零售/文旅/健康/民生）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门店消费后拦截+线上社群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✅硬折扣店2026年市场规模预计突破1.1万亿元、二三线城市门店占比达58%、渗透率约8%（智研咨询）；✅折扣零售2025年整体约2.28万亿元（2022—2025年复合增速11.0%）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