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69. “仓储会员店，囤货新潮”——仓储会员店入会意愿与续费行为研究（第三批）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研究对象：山姆/Costco/盒马X会员店消费者及潜在人群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核心变量/研究问题：会员费接受度、大包装偏好、价值感知、续费意愿、替代渠道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门店/社区代购社群渠道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✅山姆2025年全渠道销售额突破1400亿元（同比约+40%）、付费会员超1070万，2026年7月全国门店68家、全年计划新开13家；✅仓储会员店零售额增速超20%（一季度限额以上口径）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