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71. “自有品牌，平替突围”——商超自有品牌产品接受度与购买意愿研究（第三批）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研究对象：购买过商超自有品牌（盒马/永辉/山姆Member's Mark等）的消费者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核心变量/研究问题：品牌认知、质价比感知、信任、购买意愿、替代大牌意愿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超市购物后拦截+线上问卷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🔶尼尔森IQ《2026中国消费零售市场十大关键趋势报告》：自有品牌增速数据（待核验原文）；✅2026中国消费零售关键趋势：折扣化、即时零售、自有品牌突围（拓端数据 2026-08）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