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72. “社区小店，最后百米”——社区零售店、连锁便利店服务需求与升级意愿研究（第三批）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第三批（促消费×新零售×文旅×健康×民生）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研究对象：社区居民（社区超市/便利店/驿站日常消费者）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核心变量/研究问题：便利需求、服务项目（团购/代收/即时配）、满意度、升级期望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所属选题库：正大杯第三批30个热点选题（促消费/新零售/文旅/健康/民生）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社区调研渠道成熟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✅2026快消品零供满意度报告：连锁便利店行业回暖（罗森蝉联第一、满意度3.57→3.72）；🔶即时零售、社区小店、折扣业态正分流大卖场客流（行业报告）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