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96. “后备箱市集，烟火新潮”——青年市集、后备箱集市摆摊与消费参与研究（第三批）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研究对象：参与过或逛过青年市集/后备箱集市的摊主与消费者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核心变量/研究问题：参与动机（副业/社交/体验）、收入情况、摊位费用接受、消费体验、再参与意愿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当地市集现场调研（摊主访谈+消费者问卷）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🔶青年市集/后备箱集市为城市夜经济新形态（多地媒体报道，需引用具体城市案例）；✅商务部培育夜间消费集聚区（政策背景）；✅2026上半年乡村消费品零售额33216亿元（消费扩容背景）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