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267. “全屋智能，一键生活”——全屋智能、智能家居套餐消费意愿研究（第九批）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研究对象：装修或有改造计划的城市家庭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核心变量/研究问题：智能场景偏好（照明/窗帘/安防/影音）、预算分配、安装复杂度顾虑、品牌选择、购买意愿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智能家居体验店/装修公司渠道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✅2026年中国智能家居设备市场出货3亿台（IDC）；✅适老化智能家居662亿元（第五六轮证据）；🔶全屋智能渗透率（行业报告需核验）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