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311. “全屋智能，国补加持”——全屋智能购新补贴政策下的消费意愿研究（第十一批）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研究对象：装修或有改造计划的城市家庭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核心变量/研究问题：全屋智能认知、补贴知晓（8部门行动方案）、购买意愿、预算、政策拉动效果感知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研究阶段：中期（政策窗口）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装修公司/家电卖场渠道；与267题（智能家居套餐）区分：聚焦国补政策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✅商务部等8部门《促进智能家居消费行动方案》支持地方对全屋智能家居购新给予补贴；✅2025年以旧换新政策带动家电销售超26万亿元；✅35岁以下消费者占智能家居消费近六成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