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314. “智慧社区，聪明生活”——智慧社区（智能门禁、快递柜、社区大屏）建设与居民满意度研究（第十一批）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第十一批（青少年数字保护×AI新应用×全屋智能×银发AI风险×数字素养×数字民生）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研究对象：入住智慧社区/使用智能门禁快递柜的城市居民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核心变量/研究问题：智慧设施使用、便利性感知、隐私顾虑（人脸门禁）、物业协同、满意度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所属选题库：正大杯第十一批30个特色选题（青少年数字保护/AI新应用/全屋智能/银发AI风险/数字素养/数字民生）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社区物业/业主群渠道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🔶智慧社区建设（住建部试点数据需核验）；✅数字中国与城市治理政策背景；✅智能门禁人脸识别讨论（媒体）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