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315. “光影智能，点亮生活”——智能灯光、氛围照明（全屋光环境）消费意愿研究（第十一批）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第十一批（青少年数字保护×AI新应用×全屋智能×银发AI风险×数字素养×数字民生）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研究对象：装修或改造中关注灯光设计的消费者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核心变量/研究问题：灯光需求（亮度调节/氛围/护眼）、智能灯光认知、价格接受、场景化（观影/阅读/睡眠）、购买意愿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研究阶段：早期+中期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所属选题库：正大杯第十一批30个特色选题（青少年数字保护/AI新应用/全屋智能/银发AI风险/数字素养/数字民生）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照明门店/装修渠道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🔶智能照明市场规模（行业报告需核验）；✅适老化照明/健康照明政策背景；✅全屋智能联动趋势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