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331. “租房时代，住得有品质”——长租公寓、品牌公寓租住体验与选择研究（第十二批）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第十二批（居住城市更新×新就业形态×银发2.0×文化娱乐×出行车辆×商业新形态）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研究对象：在品牌长租公寓/保租房居住的 18—35 岁租客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核心变量/研究问题：租房动机（省心/品质/通勤）、公寓vs房东直租对比、租金承受、服务满意度（维修/管家）、续租意愿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研究阶段：中期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所属选题库：正大杯第十二批30个特色选题（居住城市更新/新就业形态/银发2.0/文化娱乐/出行车辆/商业新形态）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泊寓/冠寓/自如等公寓门店渠道；贴近毕业生评委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✅2026上半年重点10城租金V型反转、三居成交量环比+15%、全国租金中位数约1700元/月（+1.19%）；✅保租房REITs常态化：9只公募REITs、二季度租金收缴率均值99.27%；✅武汉长租公寓规模+40%、成都租金-7%买方市场（媒体🔶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提示：✅=官方政策/权威媒体可直接引用；🔶=行业报告/媒体线索，参赛前须下载原文核对。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