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333. “整装拎包住，家装新玩法”——家装整装（全包、拎包入住）消费意愿研究（第十二批）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研究对象：近两年装修或计划装修的业主（新房/二手房）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核心变量/研究问题：装修方式选择（整装/半包/清包）、整装认知与信任、预算、增项顾虑、满意度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装修公司/建材市场渠道；与267题（智能家居）区分：聚焦装修业态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✅上海2026年家装市场预计1284亿元、存量翻新占比首超新房、全屋整装渗透率81.29%；✅广州2026年预计突破560亿元、整装渗透率近50%；✅老房翻新、局部改造是核心增长点（中研网）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