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334. “老房翻新，旧屋新生”——存量房翻新、局部改造消费需求研究（第十二批）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研究对象：对老房进行过翻新/局部改造（厨卫/水电）的业主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核心变量/研究问题：翻新动机（老化/适老/功能）、改造项目（厨卫/墙地面）、预算、施工痛点（扰民/工期）、满意度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装修平台/物业渠道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✅存量房翻新需求占比首超新房（上海）、广州存量翻新占55%；✅行业从"营销获客"转向"交付+口碑"驱动；🔶存量房改造市场规模（行业报告需核验）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