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335. “加装电梯，幸福上楼”——老旧小区加装电梯、居家适老化改造意愿研究（第十二批）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第十二批（居住城市更新×新就业形态×银发2.0×文化娱乐×出行车辆×商业新形态）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研究对象：老旧小区 55+ 居民（多层无电梯）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核心变量/研究问题：加装意愿、出资方式接受（政府补贴/按层分摊）、邻里协调难点（低层反对）、推进满意度、适老改造需求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研究阶段：中期（民生政策）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所属选题库：正大杯第十二批30个特色选题（居住城市更新/新就业形态/银发2.0/文化娱乐/出行车辆/商业新形态）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老旧小区社区渠道；民生切入口评接近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🔶加装电梯补贴政策（住建部/地方政府）；✅居家适老化改造纳入以旧换新补贴（北京2026，第五六轮证据）；✅"十四五"老旧小区改造规划（背景）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