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420. “口袋公园，家门口的幸福”——口袋公园、小微绿地使用与建设需求研究（第十四批）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第十四批（夜间经济×老字号焕新×惠民保障×贵金属理财×文化消费×社区公共）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研究对象：经常使用小区旁口袋公园/小微绿地的居民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核心变量/研究问题：使用时段（晨练/遛娃/社交）、设施需求（座椅/健身/遮阴）、建设评价、参与式规划意愿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所属选题库：正大杯第十四批30个特色选题（夜间经济/老字号焕新/惠民保障/贵金属理财/文化消费/社区公共）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口袋公园现场问卷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🔶口袋公园建设（住建部"千园之城"政策背景需核验）；✅"公园20分钟效应"（媒体热议）；✅城市更新与微更新（334题衔接）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