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61. “国补焕新，家电升级”——家电以旧换新政策下居民参与行为与满意度研究（第三批）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研究对象：近一年参与过家电以旧换新的居民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核心变量/研究问题：政策知晓度、参与行为、感知补贴价值、换新满意度、再购意愿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研究阶段：中期（参与行为+满意度）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家电卖场/电商以旧换新专区渠道可触达；政策热度高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✅商务部等7部门《关于提质增效实施2026年消费品以旧换新政策的通知》（商消费函〔2025〕697号）：6类家电按售价15%补贴、单件最高1500元；✅截至2026年6月带动家电及数码销售超1.3亿台、销售额4500多亿元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