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06. “低空配送，最后一公里”——无人机快递配送公众接受度与使用意愿研究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研究对象：快递用户、社区居民和电商消费者。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核心变量/研究问题：配送时效、价格、安全风险、隐私顾虑、噪声影响、使用意愿。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研究阶段：中期意愿研究。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比较校园、社区和写字楼三个场景。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S5，[低空经济 2026 政策与无人机配送检索](https://www.baidu.com/s?wd=%E4%BD%8E%E7%A9%BA%E7%BB%8F%E6%B5%8E%202026%20%E6%94%BF%E7%AD%96%20%E6%97%A0%E4%BA%BA%E6%9C%BA%20%E7%89%A9%E6%B5%81)。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