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08. “低空通勤，未来已来”——eVTOL 短途通勤服务接受度与付费意愿研究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研究对象：高频跨区通勤者、商务出行者和机场旅客。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核心变量/研究问题：通勤时间节约、安全信任、价格、噪声、起降点便利性。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研究阶段：初期市场机会调查。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使用情景图片和价格区间开展选择实验。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S5，低空经济政策解读与地方低空产业规划。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