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212. “充电焦虑，何时清零”——新能源车主充电桩使用体验与服务升级需求研究（第八批）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第八批（数字服务×绿色低碳×母婴健康×文博非遗×新体育休闲×银发婚恋）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研究对象：新能源车主（家用桩/公共桩使用者）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核心变量/研究问题：充电频次、找桩排队痛点、快慢充偏好、服务费接受、光储充/超充期待、满意度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所属选题库：正大杯第八批30个特色选题（数字服务/绿色低碳/母婴健康/文博非遗/新体育休闲/银发婚恋）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充电桩现场问卷+新能源车主社群；与61/63（以旧换新购车）区分：聚焦使用后服务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✅国家"三年倍增"行动：2027年底建成2800万个充电设施、超3亿千瓦公共充电容量；✅光储充一体化、大功率超充、V2G车网互动为技术方向（中研网）；✅中国充电联盟数据（🔶最新口径待核）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