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213. “脱保之后，去哪修车”——新能源车脱保后维修市场（保外三电专修）需求研究（第八批）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研究对象：车龄3年以上新能源车主及维修从业者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核心变量/研究问题：脱保认知、维修渠道选择（4S/第三方）、三电专修信任、价格敏感、规范诉求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研究阶段：早期+中期（结构性机会）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新能源维修门店/车主群渠道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✅2030年超900万辆新能源车进入脱保期、2032年或突破2000万辆；✅2026年8月《新能源汽车维修作业安全要求》正式实施；✅保外三电专修为高价值赛道（行业分析🔶）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