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宋体" w:hAnsi="宋体" w:eastAsia="宋体"/>
          <w:b/>
          <w:color w:val="6663B2"/>
          <w:sz w:val="30"/>
        </w:rPr>
        <w:t>214. “无人配送，最后一公里”——无人配送车、无人车服务公众接受度研究（第八批）</w:t>
      </w:r>
    </w:p>
    <w:p>
      <w:pPr>
        <w:spacing w:after="240"/>
        <w:jc w:val="center"/>
      </w:pPr>
      <w:r>
        <w:rPr>
          <w:rFonts w:ascii="宋体" w:hAnsi="宋体" w:eastAsia="宋体"/>
          <w:b w:val="0"/>
          <w:color w:val="837292"/>
          <w:sz w:val="20"/>
        </w:rPr>
        <w:t>正大杯选题档案 · 第八批（数字服务×绿色低碳×母婴健康×文博非遗×新体育休闲×银发婚恋）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一、选题基本信息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研究对象：见过或使用过无人配送车（快递/外卖/生鲜）的城市居民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核心变量/研究问题：接触场景、效率评价、安全与路权顾虑、商品完好信任、接受度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研究阶段：早期+中期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所属选题库：正大杯第八批30个特色选题（数字服务/绿色低碳/母婴健康/文博非遗/新体育休闲/银发婚恋）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二、可行性说明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试点城市（北京/上海/深圳）现场观察+线上问卷；与06题（无人机配送）区分：聚焦地面无人车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三、参考来源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✅2026年国内无人配送车新增投放量预计6.8万台、2030年年产销有望86万台、累计保有量破200万台；✅中国邮政7000辆采购大单；✅无人配送车渗透快递/生鲜/城乡物流数十个末端场景（中物联等🔶）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提示：✅=官方政策/权威媒体可直接引用；🔶=行业报告/媒体线索，参赛前须下载原文核对。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