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283. “新国标换购，两轮升级”——电动自行车新国标换购消费行为研究（第十批）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研究对象：使用电动自行车（含超标车待换）的城市居民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核心变量/研究问题：车辆现状（超标/合规）、换购意愿、价格敏感、以旧换新补贴知晓、品牌选择、安全认知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研究阶段：中期（2026政策年）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电动车门店/社区渠道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✅2026年是电动自行车新国标全面落地后的首个完整年份、行业进入规则重塑期、准入门槛提高（浙江展/行业报道）；🔶以旧换新补贴政策（地方政策待核）；✅电动自行车社会保有量超3.5亿辆（行业背景🔶）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