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352. “共享电单车，3公里通勤”——共享电单车使用行为与治理平衡研究（第十二批）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第十二批（居住城市更新×新就业形态×银发2.0×文化娱乐×出行车辆×商业新形态）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研究对象：使用过共享电单车的城市居民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核心变量/研究问题：使用场景（通勤/接驳）、频次与费用（2-5元/次）、便利性与乱停放矛盾、头盔/安全、满意度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研究阶段：中期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所属选题库：正大杯第十二批30个特色选题（居住城市更新/新就业形态/银发2.0/文化娱乐/出行车辆/商业新形态）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共享电单车用户线上问卷+城区观察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✅共享电单车市场2019年22亿元→2024年166亿元（CAGR 49.7%）、预计2032年1083亿元；✅投放量2024年约710万辆、覆盖10公里内中短途；✅共享单车三家占99.9%、精细化运营背景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提示：✅=官方政策/权威媒体可直接引用；🔶=行业报告/媒体线索，参赛前须下载原文核对。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