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354. “第一辆车，二手也香”——二手车消费行为与信任（新能源二手车）研究（第十二批）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研究对象：购买过或考虑二手车的消费者（含首购族）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核心变量/研究问题：购车动机（预算/练手/性价比）、渠道选择（平台/车商）、车况信任、新能源二手车接受、价格感知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二手车市场（市场/懂车帝等）现场+线上渠道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✅2025年二手车交易量2010.8万辆首次破2000万、新车与二手车比例首次1:1；✅2026上半年新能源二手车83.9万辆（+22%）、三年保值率差距缩小至不足1.3个百分点；✅跨区域流通加速（流入前五省份）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