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355. “贴膜改色，汽车美容经济”——汽车后市场美容改装（贴膜、改色、内饰）消费研究（第十二批）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研究对象：做过汽车美容/改装的年轻车主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核心变量/研究问题：美容项目（贴膜/改色/镀晶）、价格接受、个性表达动机、门店信任、复购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研究阶段：早期+中期（细分新消费）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汽车美容门店/车主社群渠道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🔶汽车改装贴膜市场规模（行业报告需核验）；✅汽车保有量超3.4亿辆（公安部数据🔶）；✅年轻车主个性化消费趋势（媒体）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