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429. “自助洗车，社区新生意”——自助洗车、智能洗车消费行为研究（补充更新批）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第十五批（421-450）·补充更新（2026-10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研究对象：使用过自助洗车（24h自助/智能洗车机）的车主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核心变量/研究问题：使用场景（夜间/应急）、价格（几元-几十元）、流程体验（扫码/操作）、与人工洗车对比、复购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自助洗车点现场+车主群；与355（汽车美容）区分：聚焦洗车业态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🔶自助洗车市场增长（行业媒体需核验）；✅汽车保有量3.44亿（第八轮证据）；✅"洗车自由"社区服务（媒体）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