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63. “汽车置换，绿色换新”——汽车报废更新、置换补贴下消费者换车行为研究（第三批）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第三批（促消费×新零售×文旅×健康×民生）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研究对象：有换车计划或已置换的车主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核心变量/研究问题：置换动机、补贴吸引力、新能源偏好、决策因素、满意度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所属选题库：正大杯第三批30个热点选题（促消费/新零售/文旅/健康/民生）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4S店/车展/车主社群渠道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✅报废旧车换新能源按车价12%补贴（最高2万元）、换燃油10%（最高1.5万元）；直接置换新能源8%（最高1.5万元）（2026年国补统一标准，国家发改委）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