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242. “数字人民币，钱生钱”——数字人民币2.0使用体验与场景接受度研究（第九批）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研究对象：开立过数字人民币钱包的消费者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核心变量/研究问题：使用场景（支付/补贴/跨境）、2.0计息知晓、替代扫码意愿、使用频次、满意度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银行/试点商户渠道；政策前沿（计息新规）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数字人民币2.0"存款货币"时代：2026年1月1日起实名钱包余额可计付利息；✅截至2025年11月末个人钱包开立2.3亿个、累计交易金额16.7万亿元、跨境支付占比约95.3%；✅江苏2026上半年数币交易新增7万亿元（+215%）、湖南落地商户63.17万家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