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243. “大学生花明天的钱”——大学生消费金融（助学贷款、分期、小额贷）行为与理性研究（第九批）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研究对象：全日制在校大学生（含使用过校园贷/分期/助学贷款）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核心变量/研究问题：消费金融认知、用途（学费/生活/数码/娱乐）、额度使用、风险意识、还款行为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高校渠道（校园样本易得）；正大杯评委关注青年议题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✅2025年中国学生贷款行业1847亿元→2026年预计1963亿元（+6.3%）；✅国家助学贷款本科上限16000元/年、研究生20000元/年、约45%用于发展型支出（培训/考证）；✅监管禁止向未满18周岁学生发放非政策性贷款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