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401. “惠民保，划算吗”——惠民保（沪惠保、穗岁康等）参保意愿与续保行为研究（第十四批）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研究对象：参保过或考虑参保惠民保的居民（30—70岁）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核心变量/研究问题：参保动机（低价/大病兜底）、理赔认知、续保决策、犹豫因素（报销门槛/既往症）、政策了解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研究阶段：中期（产品调整期）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社区医保宣传点+线上问卷；民生切题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✅2026年全国超90%惠民保项目参保人数下滑、部分华东城市降幅近15%；✅2023年53款产品参保率均值仅18.9%（低于70%-80%有效分散风险临界值）；✅阿克苏2026年度参保率12.86%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