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402. “连续参保有优待”——惠民保连续参保优待机制认知与影响研究（第十四批）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研究对象：惠民保参保人（含连续多年参保）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核心变量/研究问题：优待规则知晓（免赔额降低/报销比例提升）、连续参保意愿、对产品信任、流失原因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惠民保官方渠道+参保人社群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✅沪惠保连续三年无理赔参保人免赔额最低可降至1万元、既往症责任赔付比例统一调整为30%；✅深圳惠民保连续3年参保无理赔用户报销比例提升至90%；✅杭州"西湖益联保"150元基础版/300元升级版分层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