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406. “攒金豆，年轻人理财新姿势”——年轻人群“攒金豆”、小克重黄金消费研究（第十四批）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研究对象：购买过金豆/小克重金饰的 18—35 岁人群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核心变量/研究问题：购买动机（保值/悦己/仪式感）、购买频次与克重、价格敏感（金价波动）、回收变现认知、复购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研究阶段：中期（现象前沿）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金店现场+线上金豆社群；贴近年轻人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✅1—5克"小金豆"、硬足金挂坠成门店备货重点、入手门槛低；✅2026年黄金消费从"投资保值"转向"悦己+保值"双重属性；✅2026国庆品牌金饰挂牌价从高点1360元/克回落到900—1250元/克、带动金店客流暴涨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