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407. “旧金变现，以旧换新”——黄金回收、以旧换新消费行为研究（第十四批）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第十四批（夜间经济×老字号焕新×惠民保障×贵金属理财×文化消费×社区公共）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研究对象：做过黄金回收或以旧换新的消费者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核心变量/研究问题：处理渠道（金店/线上回收）、折价损耗感知、回收信任（称重/克扣）、以旧换新决策、风险经历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所属选题库：正大杯第十四批30个特色选题（夜间经济/老字号焕新/惠民保障/贵金属理财/文化消费/社区公共）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金店/回收门店渠道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🔶黄金回收乱象（央视3·15/媒体曝光需引原文）；✅金价波动下"买金—回收"闭环（媒体）；✅金店客流暴涨（2026国庆）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