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464. “信用分，生活的通行证”——个人信用分（芝麻分、微信支付分）场景应用研究（第十六批）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第十六批（跨境免税×新兴运动×消费维权×银发娱乐3.0×文创现场×代际家庭）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研究对象：使用信用分的用户（免押金/先用后付/信用住）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核心变量/研究问题：使用场景、免押金便利感知、分高低的权益差异、隐私顾虑（数据画像）、查询频率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所属选题库：正大杯第十六批30个特色选题（跨境免税/新兴运动/消费维权/银发娱乐3.0/文创现场/代际家庭）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支付宝/微信用户线上问卷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🔶信用分用户规模（蚂蚁集团数据需核验）；✅《征信业务管理办法》（央行政策背景）；✅"信用+消费"普惠场景（媒体）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