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477. “账单AA制，小家庭财务”——年轻家庭财务管理（AA制、共同账户）研究（第十六批）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第十六批（跨境免税×新兴运动×消费维权×银发娱乐3.0×文创现场×代际家庭）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研究对象：25—40岁已婚/同居年轻家庭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核心变量/研究问题：财务模式（AA/共同/混合）、大额支出决策（买房/育儿）、财务透明、矛盾点、财富规划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研究阶段：早期+中期（新颖）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所属选题库：正大杯第十六批30个特色选题（跨境免税/新兴运动/消费维权/银发娱乐3.0/文创现场/代际家庭）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年轻家庭线上问卷（夫妻群）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🔶"AA制婚姻"讨论（媒体热议需引原文）；✅家庭消费金融（第九轮消费金融背景）；✅婚姻家庭消费研究（学术）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