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105. “看病带娃，儿童友好医院”——儿童友好型医院就诊服务需求研究（补充更新批）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第四批（91-120）·补充更新（2026-10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研究对象：带娃就诊（儿科/儿保）的家长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核心变量/研究问题：就诊痛点（排队/哭闹/设施）、儿童友好设施（游乐区/输液位）、导诊与AI预问诊接受、满意度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儿童医院/妇幼保健院渠道；与300（陪诊）区分：聚焦院内适儿服务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🔶儿童友好医院建设（国家卫健委/中国儿童友好城市政策背景）；✅"一老一小"服务提升（背景）；✅互联网医院儿科服务（275题衔接）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