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121. “生命终点，温柔疗护”——安宁疗护服务认知、需求与支付意愿研究（第五+六批）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研究对象：家有重病/临终老人的成年子女或 60+ 老人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核心变量/研究问题：安宁疗护认知度、服务需求（疼痛管理/心理支持/家属关怀）、政策支付意愿、伦理态度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研究阶段：早期+中期（新兴市场）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医院肿瘤科/安宁疗护病房/社区临终关怀宣传渠道；话题有温度、政策新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✅安宁疗护2023年约850亿元、有望突破1500亿元（弗若斯特沙利文2024）；✅广东省将安宁疗护纳入价格项目（每日收费260元）；✅《健康中国2030规划纲要》安宁疗护政策（背景）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