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202. “倾听树洞，情绪有人听”——情绪倾听、付费陪聊服务消费意愿与伦理边界研究（第七批）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第七批（数字内容×银发新生活×二次元线下×新职业柔性服务×二手独居×文旅新场景）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研究对象：使用过或关注情绪倾诉服务的 18—40 岁人群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核心变量/研究问题：倾诉需求（孤独/压力）、服务形式（App/热线/一对一）、价格接受、隐私与安全顾虑、效果感知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所属选题库：正大杯第七批30个特色选题（数字内容/银发新生活/二次元线下/新职业柔性服务/二手独居/文旅新场景）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心理倾诉平台/树洞App用户渠道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🔶情绪倾听/树洞服务为情感消费新业态（媒体）；✅近八成青年有情绪压力（艾媒，第二批已核验）；✅情绪经济27186亿元（2025年，已核验）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