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224. “小眼镜，大防线”——儿童近视防控产品家长选择与付费意愿研究（第八批）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第八批（数字服务×绿色低碳×母婴健康×文博非遗×新体育休闲×银发婚恋）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研究对象：6—18岁孩子家长（关注近视防控）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核心变量/研究问题：孩子近视状况、防控手段选择（OK镜/离焦镜/红光/户外）、费用接受、医院信任、效果感知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所属选题库：正大杯第八批30个特色选题（数字服务/绿色低碳/母婴健康/文博非遗/新体育休闲/银发婚恋）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眼科医院/学校渠道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✅2025年儿童青少年总体近视率51.9%；✅近视管理医疗器械零售市场2024年407.3亿元→2030年预计909.2亿元；✅防控转向全周期管理、OK镜/离焦/红光渗透率提高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