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254. “心理自助，AI 搭把手”——心理健康自助服务（心理App、线上咨询、AI心理工具）使用意愿研究（第九批）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研究对象：18—40岁有情绪困扰或咨询过心理服务的青年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核心变量/研究问题：求助意愿（病耻感）、渠道偏好（App/热线/线下）、付费接受、AI心理工具信任、效果评价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高校心理中心/心理App社群渠道；与第二批31（情绪）区分：聚焦专业服务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🔶心理健康市场规模（行业报告需核验）；✅近八成青年有情绪压力（艾媒，第二批已核验）；✅国家心理健康促进行动（政策背景）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