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271. “一口好牙，正畸美学”——口腔正畸（隐形矫正、钢丝矫正）消费决策研究（第十批）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研究对象：正在矫正或有意矫正牙齿的 12—40 岁人群及其家长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核心变量/研究问题：矫正动机（美观/功能）、矫正方式选择（隐形vs钢丝）、价格敏感、机构信任、满意度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口腔门诊/高校渠道；贴近大学生、自带话题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口腔正畸市场规模约500亿元、隐形矫正和陶瓷矫正为主要增长点；✅2026年中国口腔医疗服务市场约3753.5亿元（+13%）、诊疗人次破3.6亿次；✅全国口腔患者约7亿人、超八成消费者有过口腔医疗项目经历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