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275. “手机问诊，便捷就医”——互联网医疗、在线问诊使用行为与信任研究（第十批）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研究对象：用过在线问诊App（丁香/微医/支付宝医疗）的消费者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核心变量/研究问题：使用场景（轻症/复诊/慢病）、医生信任、处方与购药行为、医保支付意愿、满意度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在线问诊用户社群+中老年慢病人群渠道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✅2026年中国互联网医疗市场规模预计超1000亿元（另一口径5000亿，须注明）、CAGR 20%+、用户预计破6亿；✅问诊扩展至预约挂号/处方开具/术后随访；✅医保支付逐步放宽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