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30. “康复可及，健康有方”——居民对社区康复护理服务的认知、需求与支付意愿研究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研究对象：慢病患者、术后康复者、老年人及照护者。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核心变量/研究问题：康复需求、服务距离、专业信任、费用、医保认知、使用意愿。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研究阶段：初期需求+中期意愿研究。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社区卫生服务中心、康复医院和养老机构取样。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S4，《医疗康复护理扩容提升工程实施方案》相关政策。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---</w:t>
        <w:br/>
        <w:br/>
        <w:t>## 三、优先推荐的 6 个题目</w:t>
        <w:br/>
        <w:br/>
        <w:t>1. **“赛事引流，消费增流”——城市体育赛事带动餐饮、住宿与零售消费的效果调查**</w:t>
        <w:br/>
        <w:t>2. **“房车出行，营地先行”——房车营地服务需求与消费者使用意愿调查**</w:t>
        <w:br/>
        <w:t>3. **“银龄助餐，暖胃暖心”——社区老年助餐服务需求与支付意愿研究**</w:t>
        <w:br/>
        <w:t>4. **“内容生成，安全先行”——公众对 AI 生成内容标识与真实性判断的认知研究**</w:t>
        <w:br/>
        <w:t>5. **“预制上桌，健康先行”——低盐、低脂、高蛋白预制菜需求偏好研究**</w:t>
        <w:br/>
        <w:t>6. **“房车低碳，旅居新风”——新能源房车与传统燃油房车消费者偏好研究**</w:t>
        <w:br/>
        <w:br/>
        <w:t>## 四、正式参赛前的核验清单</w:t>
        <w:br/>
        <w:br/>
        <w:t>- 下载并保存官方政策原文或网页 PDF；</w:t>
        <w:br/>
        <w:t>- 核对文号、发布日期和政策适用范围；</w:t>
        <w:br/>
        <w:t>- 行业报告必须核对发布机构、样本量、市场规模口径和统计年份；</w:t>
        <w:br/>
        <w:t>- 将“全国趋势”转化为“XX 市可调查的问题”；</w:t>
        <w:br/>
        <w:t>- 通过本地访谈确认样本渠道，再最终定题；</w:t>
        <w:br/>
        <w:t>- 查询当届大赛和历届获奖名单，避免题目直接重复；</w:t>
        <w:br/>
        <w:t>- 涉及未成年人、医疗、老年人、就业和 AI 依赖时，使用匿名问卷并设置知情同意；</w:t>
        <w:br/>
        <w:t>- 正式报告中区分“文献/政策事实”“行业线索”和“本次调查发现”。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